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5B5FCB">
        <w:rPr>
          <w:rFonts w:ascii="Times New Roman" w:eastAsia="Times New Roman" w:hAnsi="Times New Roman"/>
          <w:sz w:val="28"/>
          <w:szCs w:val="28"/>
          <w:lang w:val="uk-UA" w:eastAsia="ru-RU"/>
        </w:rPr>
        <w:t>1</w:t>
      </w:r>
      <w:r w:rsidR="006E284C">
        <w:rPr>
          <w:rFonts w:ascii="Times New Roman" w:eastAsia="Times New Roman" w:hAnsi="Times New Roman"/>
          <w:sz w:val="28"/>
          <w:szCs w:val="28"/>
          <w:lang w:val="uk-UA" w:eastAsia="ru-RU"/>
        </w:rPr>
        <w:t>7</w:t>
      </w:r>
      <w:r w:rsidR="003C3152">
        <w:rPr>
          <w:rFonts w:ascii="Times New Roman" w:eastAsia="Times New Roman" w:hAnsi="Times New Roman"/>
          <w:sz w:val="28"/>
          <w:szCs w:val="28"/>
          <w:lang w:val="uk-UA" w:eastAsia="ru-RU"/>
        </w:rPr>
        <w:t>.0</w:t>
      </w:r>
      <w:r w:rsidR="005B5FCB">
        <w:rPr>
          <w:rFonts w:ascii="Times New Roman" w:eastAsia="Times New Roman" w:hAnsi="Times New Roman"/>
          <w:sz w:val="28"/>
          <w:szCs w:val="28"/>
          <w:lang w:val="uk-UA" w:eastAsia="ru-RU"/>
        </w:rPr>
        <w:t>4</w:t>
      </w:r>
      <w:r w:rsidR="003C3152">
        <w:rPr>
          <w:rFonts w:ascii="Times New Roman" w:eastAsia="Times New Roman" w:hAnsi="Times New Roman"/>
          <w:sz w:val="28"/>
          <w:szCs w:val="28"/>
          <w:lang w:val="uk-UA" w:eastAsia="ru-RU"/>
        </w:rPr>
        <w:t xml:space="preserve">.2024 № </w:t>
      </w:r>
      <w:r w:rsidR="006E284C">
        <w:rPr>
          <w:rFonts w:ascii="Times New Roman" w:eastAsia="Times New Roman" w:hAnsi="Times New Roman"/>
          <w:sz w:val="28"/>
          <w:szCs w:val="28"/>
          <w:lang w:val="uk-UA" w:eastAsia="ru-RU"/>
        </w:rPr>
        <w:t>72</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Default="00A22D29" w:rsidP="00A22D29">
      <w:pPr>
        <w:spacing w:after="0" w:line="216" w:lineRule="auto"/>
        <w:ind w:firstLine="709"/>
        <w:jc w:val="both"/>
        <w:rPr>
          <w:rFonts w:ascii="Times New Roman" w:hAnsi="Times New Roman"/>
          <w:sz w:val="28"/>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A22D29" w:rsidRDefault="00A22D29" w:rsidP="00A22D29">
      <w:pPr>
        <w:spacing w:after="0" w:line="216" w:lineRule="auto"/>
        <w:ind w:firstLine="709"/>
        <w:jc w:val="both"/>
        <w:rPr>
          <w:rFonts w:ascii="Times New Roman" w:hAnsi="Times New Roman"/>
          <w:sz w:val="16"/>
          <w:szCs w:val="16"/>
          <w:lang w:val="uk-UA"/>
        </w:rPr>
      </w:pP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14367C">
        <w:rPr>
          <w:rFonts w:ascii="Times New Roman" w:eastAsia="Times New Roman" w:hAnsi="Times New Roman" w:cs="Times New Roman"/>
          <w:sz w:val="28"/>
          <w:szCs w:val="28"/>
          <w:lang w:val="uk-UA" w:eastAsia="ru-RU"/>
        </w:rPr>
        <w:t>1</w:t>
      </w:r>
      <w:r w:rsidR="006E284C">
        <w:rPr>
          <w:rFonts w:ascii="Times New Roman" w:eastAsia="Times New Roman" w:hAnsi="Times New Roman" w:cs="Times New Roman"/>
          <w:sz w:val="28"/>
          <w:szCs w:val="28"/>
          <w:lang w:val="uk-UA" w:eastAsia="ru-RU"/>
        </w:rPr>
        <w:t>7</w:t>
      </w:r>
      <w:bookmarkStart w:id="0" w:name="_GoBack"/>
      <w:bookmarkEnd w:id="0"/>
      <w:r w:rsidR="008611BA">
        <w:rPr>
          <w:rFonts w:ascii="Times New Roman" w:eastAsia="Times New Roman" w:hAnsi="Times New Roman" w:cs="Times New Roman"/>
          <w:sz w:val="28"/>
          <w:szCs w:val="28"/>
          <w:lang w:val="uk-UA" w:eastAsia="ru-RU"/>
        </w:rPr>
        <w:t xml:space="preserve"> </w:t>
      </w:r>
      <w:r w:rsidR="0014367C">
        <w:rPr>
          <w:rFonts w:ascii="Times New Roman" w:eastAsia="Times New Roman" w:hAnsi="Times New Roman" w:cs="Times New Roman"/>
          <w:sz w:val="28"/>
          <w:szCs w:val="28"/>
          <w:lang w:val="uk-UA" w:eastAsia="ru-RU"/>
        </w:rPr>
        <w:t>квітня</w:t>
      </w:r>
      <w:r w:rsidR="008611BA">
        <w:rPr>
          <w:rFonts w:ascii="Times New Roman" w:eastAsia="Times New Roman" w:hAnsi="Times New Roman" w:cs="Times New Roman"/>
          <w:sz w:val="28"/>
          <w:szCs w:val="28"/>
          <w:lang w:val="uk-UA" w:eastAsia="ru-RU"/>
        </w:rPr>
        <w:t xml:space="preserve"> 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14367C">
        <w:rPr>
          <w:rFonts w:ascii="Times New Roman" w:eastAsia="Times New Roman" w:hAnsi="Times New Roman" w:cs="Times New Roman"/>
          <w:sz w:val="28"/>
          <w:szCs w:val="28"/>
          <w:lang w:val="uk-UA" w:eastAsia="ru-RU"/>
        </w:rPr>
        <w:t>30</w:t>
      </w:r>
      <w:r>
        <w:rPr>
          <w:rFonts w:ascii="Times New Roman" w:eastAsia="Times New Roman" w:hAnsi="Times New Roman" w:cs="Times New Roman"/>
          <w:sz w:val="28"/>
          <w:szCs w:val="28"/>
          <w:lang w:val="uk-UA" w:eastAsia="ru-RU"/>
        </w:rPr>
        <w:t xml:space="preserve"> </w:t>
      </w:r>
      <w:r w:rsidR="00AF4E68">
        <w:rPr>
          <w:rFonts w:ascii="Times New Roman" w:eastAsia="Times New Roman" w:hAnsi="Times New Roman" w:cs="Times New Roman"/>
          <w:sz w:val="28"/>
          <w:szCs w:val="28"/>
          <w:lang w:val="uk-UA" w:eastAsia="ru-RU"/>
        </w:rPr>
        <w:t>квітня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AF4E68">
        <w:rPr>
          <w:rFonts w:ascii="Times New Roman" w:eastAsia="Times New Roman" w:hAnsi="Times New Roman" w:cs="Times New Roman"/>
          <w:sz w:val="28"/>
          <w:szCs w:val="28"/>
          <w:lang w:val="uk-UA" w:eastAsia="ru-RU"/>
        </w:rPr>
        <w:t>16 квітня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lastRenderedPageBreak/>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6E284C"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6E284C"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6E284C"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EDF" w:rsidRDefault="00784EDF">
      <w:pPr>
        <w:spacing w:after="0" w:line="240" w:lineRule="auto"/>
      </w:pPr>
      <w:r>
        <w:separator/>
      </w:r>
    </w:p>
  </w:endnote>
  <w:endnote w:type="continuationSeparator" w:id="0">
    <w:p w:rsidR="00784EDF" w:rsidRDefault="0078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EDF" w:rsidRDefault="00784EDF">
      <w:pPr>
        <w:spacing w:after="0" w:line="240" w:lineRule="auto"/>
      </w:pPr>
      <w:r>
        <w:separator/>
      </w:r>
    </w:p>
  </w:footnote>
  <w:footnote w:type="continuationSeparator" w:id="0">
    <w:p w:rsidR="00784EDF" w:rsidRDefault="00784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784E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4367C"/>
    <w:rsid w:val="00146C84"/>
    <w:rsid w:val="001544B6"/>
    <w:rsid w:val="0015734D"/>
    <w:rsid w:val="00157F28"/>
    <w:rsid w:val="00171496"/>
    <w:rsid w:val="0018355B"/>
    <w:rsid w:val="001B5434"/>
    <w:rsid w:val="001B7E3F"/>
    <w:rsid w:val="001E58FE"/>
    <w:rsid w:val="002411A4"/>
    <w:rsid w:val="00245B05"/>
    <w:rsid w:val="00250148"/>
    <w:rsid w:val="002640C7"/>
    <w:rsid w:val="00270B79"/>
    <w:rsid w:val="002844D2"/>
    <w:rsid w:val="002D6F3A"/>
    <w:rsid w:val="002D79AE"/>
    <w:rsid w:val="002E49C5"/>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9664D"/>
    <w:rsid w:val="004A1DCD"/>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6063A4"/>
    <w:rsid w:val="006141D9"/>
    <w:rsid w:val="00614A7B"/>
    <w:rsid w:val="0062001B"/>
    <w:rsid w:val="00621EAC"/>
    <w:rsid w:val="00640B87"/>
    <w:rsid w:val="006467C3"/>
    <w:rsid w:val="00661BFF"/>
    <w:rsid w:val="0067057C"/>
    <w:rsid w:val="006741A9"/>
    <w:rsid w:val="00674E04"/>
    <w:rsid w:val="00675F28"/>
    <w:rsid w:val="00680075"/>
    <w:rsid w:val="006873F1"/>
    <w:rsid w:val="00692E63"/>
    <w:rsid w:val="006A034E"/>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B3214"/>
    <w:rsid w:val="00AB322F"/>
    <w:rsid w:val="00AC1EB5"/>
    <w:rsid w:val="00AC78D6"/>
    <w:rsid w:val="00AF4E68"/>
    <w:rsid w:val="00B14DCD"/>
    <w:rsid w:val="00B21EE5"/>
    <w:rsid w:val="00B555D7"/>
    <w:rsid w:val="00B76AE7"/>
    <w:rsid w:val="00B92405"/>
    <w:rsid w:val="00B95DD7"/>
    <w:rsid w:val="00BA78A9"/>
    <w:rsid w:val="00BB427F"/>
    <w:rsid w:val="00BC1D6A"/>
    <w:rsid w:val="00BC2C25"/>
    <w:rsid w:val="00BC65A4"/>
    <w:rsid w:val="00BF072D"/>
    <w:rsid w:val="00C167FB"/>
    <w:rsid w:val="00C17FB1"/>
    <w:rsid w:val="00C27DD1"/>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E0EDE"/>
    <w:rsid w:val="00DF3766"/>
    <w:rsid w:val="00E0106F"/>
    <w:rsid w:val="00E023B6"/>
    <w:rsid w:val="00E04E06"/>
    <w:rsid w:val="00E20CDF"/>
    <w:rsid w:val="00E32CFD"/>
    <w:rsid w:val="00E35BB4"/>
    <w:rsid w:val="00E527A0"/>
    <w:rsid w:val="00E5321C"/>
    <w:rsid w:val="00E61F8F"/>
    <w:rsid w:val="00E662D9"/>
    <w:rsid w:val="00E7340A"/>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6AD6"/>
    <w:rsid w:val="00FD14DC"/>
    <w:rsid w:val="00FD4107"/>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ABA3"/>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7F4C-404F-4820-828F-3C3D8C7C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4295</Words>
  <Characters>2449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4</cp:revision>
  <cp:lastPrinted>2023-05-11T06:23:00Z</cp:lastPrinted>
  <dcterms:created xsi:type="dcterms:W3CDTF">2024-04-16T06:03:00Z</dcterms:created>
  <dcterms:modified xsi:type="dcterms:W3CDTF">2024-04-18T07:55:00Z</dcterms:modified>
</cp:coreProperties>
</file>